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7C" w:rsidRDefault="00072D0D">
      <w:pPr>
        <w:spacing w:before="240"/>
        <w:jc w:val="center"/>
        <w:rPr>
          <w:color w:val="000000"/>
          <w:sz w:val="48"/>
          <w:szCs w:val="48"/>
        </w:rPr>
      </w:pPr>
      <w:r>
        <w:rPr>
          <w:color w:val="000000"/>
          <w:sz w:val="48"/>
          <w:szCs w:val="48"/>
        </w:rPr>
        <w:t>MODULE DESCRIPTION FORM</w:t>
      </w:r>
    </w:p>
    <w:p w:rsidR="00B8157C" w:rsidRDefault="00072D0D">
      <w:pPr>
        <w:bidi/>
        <w:jc w:val="center"/>
        <w:rPr>
          <w:sz w:val="48"/>
          <w:szCs w:val="48"/>
        </w:rPr>
      </w:pPr>
      <w:bookmarkStart w:id="0" w:name="_gjdgxs" w:colFirst="0" w:colLast="0"/>
      <w:bookmarkEnd w:id="0"/>
      <w:r>
        <w:rPr>
          <w:rFonts w:cs="Times New Roman"/>
          <w:sz w:val="48"/>
          <w:szCs w:val="48"/>
          <w:rtl/>
        </w:rPr>
        <w:t>نموذج وصف المادة الدراسية</w:t>
      </w:r>
    </w:p>
    <w:p w:rsidR="00B8157C" w:rsidRDefault="00B8157C">
      <w:pPr>
        <w:bidi/>
        <w:jc w:val="center"/>
        <w:rPr>
          <w:sz w:val="24"/>
          <w:szCs w:val="24"/>
        </w:rPr>
      </w:pPr>
    </w:p>
    <w:p w:rsidR="00B8157C" w:rsidRDefault="00B8157C">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B8157C">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before="80" w:after="80"/>
              <w:jc w:val="center"/>
              <w:rPr>
                <w:b/>
                <w:color w:val="17365D"/>
                <w:sz w:val="28"/>
                <w:szCs w:val="28"/>
              </w:rPr>
            </w:pPr>
            <w:r>
              <w:rPr>
                <w:b/>
                <w:color w:val="17365D"/>
                <w:sz w:val="28"/>
                <w:szCs w:val="28"/>
              </w:rPr>
              <w:t>Module Information</w:t>
            </w:r>
          </w:p>
          <w:p w:rsidR="00B8157C" w:rsidRDefault="00072D0D">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B8157C">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37FC">
            <w:pPr>
              <w:pStyle w:val="Heading1"/>
              <w:spacing w:before="80" w:after="80"/>
              <w:ind w:left="90"/>
              <w:outlineLvl w:val="0"/>
              <w:rPr>
                <w:b w:val="0"/>
                <w:color w:val="FF0000"/>
                <w:sz w:val="30"/>
                <w:szCs w:val="30"/>
              </w:rPr>
            </w:pPr>
            <w:r>
              <w:rPr>
                <w:b w:val="0"/>
                <w:color w:val="FF0000"/>
                <w:sz w:val="30"/>
                <w:szCs w:val="30"/>
              </w:rPr>
              <w:t>Sedimentary Facies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Module Delivery</w:t>
            </w: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2D0D">
            <w:pPr>
              <w:pStyle w:val="Heading1"/>
              <w:spacing w:before="80" w:after="80"/>
              <w:ind w:left="90"/>
              <w:outlineLvl w:val="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numPr>
                <w:ilvl w:val="0"/>
                <w:numId w:val="4"/>
              </w:numPr>
              <w:spacing w:before="80"/>
              <w:rPr>
                <w:b/>
              </w:rPr>
            </w:pPr>
            <w:r>
              <w:rPr>
                <w:rFonts w:ascii="Arimo" w:eastAsia="Arimo" w:hAnsi="Arimo" w:cs="Arimo"/>
                <w:b/>
              </w:rPr>
              <w:t>☒</w:t>
            </w:r>
            <w:r>
              <w:rPr>
                <w:b/>
              </w:rPr>
              <w:t xml:space="preserve"> Theory    </w:t>
            </w:r>
          </w:p>
          <w:p w:rsidR="00B8157C" w:rsidRDefault="00072D0D">
            <w:pPr>
              <w:numPr>
                <w:ilvl w:val="0"/>
                <w:numId w:val="1"/>
              </w:numPr>
              <w:rPr>
                <w:b/>
              </w:rPr>
            </w:pPr>
            <w:r>
              <w:rPr>
                <w:rFonts w:ascii="Arimo" w:eastAsia="Arimo" w:hAnsi="Arimo" w:cs="Arimo"/>
                <w:b/>
              </w:rPr>
              <w:t>☒</w:t>
            </w:r>
            <w:r>
              <w:rPr>
                <w:b/>
              </w:rPr>
              <w:t xml:space="preserve"> Lecture</w:t>
            </w:r>
          </w:p>
          <w:p w:rsidR="00B8157C" w:rsidRDefault="00072D0D">
            <w:pPr>
              <w:numPr>
                <w:ilvl w:val="0"/>
                <w:numId w:val="1"/>
              </w:numPr>
              <w:rPr>
                <w:b/>
              </w:rPr>
            </w:pPr>
            <w:r>
              <w:rPr>
                <w:rFonts w:ascii="Arimo" w:eastAsia="Arimo" w:hAnsi="Arimo" w:cs="Arimo"/>
                <w:b/>
              </w:rPr>
              <w:t>☒</w:t>
            </w:r>
            <w:r>
              <w:rPr>
                <w:b/>
              </w:rPr>
              <w:t xml:space="preserve"> Lab </w:t>
            </w:r>
          </w:p>
          <w:p w:rsidR="00B8157C" w:rsidRDefault="00072D0D">
            <w:pPr>
              <w:numPr>
                <w:ilvl w:val="0"/>
                <w:numId w:val="1"/>
              </w:numPr>
              <w:rPr>
                <w:b/>
              </w:rPr>
            </w:pPr>
            <w:r>
              <w:rPr>
                <w:rFonts w:ascii="Arimo" w:eastAsia="Arimo" w:hAnsi="Arimo" w:cs="Arimo"/>
                <w:b/>
              </w:rPr>
              <w:t>☐</w:t>
            </w:r>
            <w:r>
              <w:rPr>
                <w:b/>
              </w:rPr>
              <w:t xml:space="preserve"> Tutorial</w:t>
            </w:r>
          </w:p>
          <w:p w:rsidR="00B8157C" w:rsidRDefault="00072D0D">
            <w:pPr>
              <w:numPr>
                <w:ilvl w:val="0"/>
                <w:numId w:val="1"/>
              </w:numPr>
              <w:rPr>
                <w:b/>
              </w:rPr>
            </w:pPr>
            <w:r>
              <w:rPr>
                <w:rFonts w:ascii="Arimo" w:eastAsia="Arimo" w:hAnsi="Arimo" w:cs="Arimo"/>
                <w:b/>
              </w:rPr>
              <w:t>☐</w:t>
            </w:r>
            <w:r>
              <w:rPr>
                <w:b/>
              </w:rPr>
              <w:t xml:space="preserve"> Practical</w:t>
            </w:r>
          </w:p>
          <w:p w:rsidR="00B8157C" w:rsidRDefault="00072D0D">
            <w:pPr>
              <w:numPr>
                <w:ilvl w:val="0"/>
                <w:numId w:val="1"/>
              </w:numPr>
              <w:spacing w:after="80"/>
              <w:rPr>
                <w:b/>
              </w:rPr>
            </w:pPr>
            <w:r>
              <w:rPr>
                <w:rFonts w:ascii="Arimo" w:eastAsia="Arimo" w:hAnsi="Arimo" w:cs="Arimo"/>
                <w:b/>
              </w:rPr>
              <w:t>☐</w:t>
            </w:r>
            <w:r>
              <w:rPr>
                <w:b/>
              </w:rPr>
              <w:t xml:space="preserve"> Seminar</w:t>
            </w:r>
          </w:p>
        </w:tc>
      </w:tr>
      <w:tr w:rsidR="00B8157C">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591922">
            <w:pPr>
              <w:pStyle w:val="Heading1"/>
              <w:spacing w:before="80" w:after="80"/>
              <w:ind w:left="90"/>
              <w:outlineLvl w:val="0"/>
              <w:rPr>
                <w:b w:val="0"/>
                <w:color w:val="FF0000"/>
                <w:sz w:val="28"/>
                <w:szCs w:val="28"/>
              </w:rPr>
            </w:pPr>
            <w:r w:rsidRPr="00591922">
              <w:rPr>
                <w:b w:val="0"/>
                <w:color w:val="FF0000"/>
                <w:sz w:val="28"/>
                <w:szCs w:val="28"/>
              </w:rPr>
              <w:t>GEO32122</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8"/>
                <w:szCs w:val="28"/>
              </w:rPr>
            </w:pP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37FC">
            <w:pPr>
              <w:pStyle w:val="Heading1"/>
              <w:spacing w:before="80" w:after="80"/>
              <w:ind w:left="90"/>
              <w:outlineLvl w:val="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8"/>
                <w:szCs w:val="28"/>
              </w:rPr>
            </w:pPr>
          </w:p>
        </w:tc>
      </w:tr>
      <w:tr w:rsidR="00B8157C">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2D0D" w:rsidP="000737FC">
            <w:pPr>
              <w:pStyle w:val="Heading1"/>
              <w:spacing w:before="80" w:after="80"/>
              <w:ind w:left="90"/>
              <w:outlineLvl w:val="0"/>
              <w:rPr>
                <w:b w:val="0"/>
                <w:color w:val="FF0000"/>
                <w:sz w:val="24"/>
                <w:szCs w:val="24"/>
              </w:rPr>
            </w:pPr>
            <w:r>
              <w:rPr>
                <w:b w:val="0"/>
                <w:color w:val="FF0000"/>
                <w:sz w:val="24"/>
                <w:szCs w:val="24"/>
              </w:rPr>
              <w:t>1</w:t>
            </w:r>
            <w:r w:rsidR="000737FC">
              <w:rPr>
                <w:b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widowControl w:val="0"/>
              <w:pBdr>
                <w:top w:val="nil"/>
                <w:left w:val="nil"/>
                <w:bottom w:val="nil"/>
                <w:right w:val="nil"/>
                <w:between w:val="nil"/>
              </w:pBdr>
              <w:spacing w:line="276" w:lineRule="auto"/>
              <w:rPr>
                <w:color w:val="FF0000"/>
                <w:sz w:val="24"/>
                <w:szCs w:val="24"/>
              </w:rPr>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firstLine="725"/>
            </w:pPr>
            <w:r>
              <w:t>III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B8157C" w:rsidRDefault="000737FC">
            <w:pPr>
              <w:spacing w:before="80" w:after="80"/>
            </w:pPr>
            <w:r>
              <w:t>Six</w:t>
            </w: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College of Geophysics and Remote Sensing</w:t>
            </w:r>
          </w:p>
        </w:tc>
      </w:tr>
      <w:tr w:rsidR="00B8157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rsidP="000737FC">
            <w:pPr>
              <w:spacing w:before="80" w:after="80"/>
              <w:ind w:left="90"/>
            </w:pPr>
            <w:r>
              <w:t xml:space="preserve">Dr. </w:t>
            </w:r>
            <w:r w:rsidR="000737FC">
              <w:t>Mohammed  Sattam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9A28DD" w:rsidP="000737FC">
            <w:pPr>
              <w:spacing w:before="80" w:after="80"/>
            </w:pPr>
            <w:hyperlink r:id="rId7" w:history="1">
              <w:r w:rsidR="000737FC" w:rsidRPr="00CD658A">
                <w:rPr>
                  <w:rStyle w:val="Hyperlink"/>
                </w:rPr>
                <w:t>moh.sattam@kus.edu.iq</w:t>
              </w:r>
            </w:hyperlink>
            <w:r w:rsidR="00072D0D">
              <w:t xml:space="preserve"> </w:t>
            </w: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B8157C" w:rsidRDefault="000737FC" w:rsidP="000737FC">
            <w:pPr>
              <w:spacing w:before="80" w:after="80"/>
            </w:pPr>
            <w:r>
              <w:t>Stratigraphy &amp; Paleontology</w:t>
            </w:r>
          </w:p>
        </w:tc>
      </w:tr>
      <w:tr w:rsidR="00B8157C">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ind w:left="90"/>
            </w:pPr>
            <w:r>
              <w:t>Nul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B8157C" w:rsidRDefault="00B8157C">
            <w:pPr>
              <w:spacing w:before="80" w:after="80"/>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before="80" w:after="80"/>
            </w:pPr>
          </w:p>
        </w:tc>
      </w:tr>
      <w:tr w:rsidR="00B8157C">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B8157C" w:rsidRDefault="00072D0D">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072D0D">
            <w:pPr>
              <w:spacing w:before="80" w:after="80"/>
            </w:pPr>
            <w:r>
              <w:t>2</w:t>
            </w:r>
          </w:p>
        </w:tc>
      </w:tr>
    </w:tbl>
    <w:p w:rsidR="00B8157C" w:rsidRDefault="00B8157C">
      <w:pPr>
        <w:tabs>
          <w:tab w:val="left" w:pos="5220"/>
        </w:tabs>
        <w:spacing w:after="200" w:line="276" w:lineRule="auto"/>
        <w:rPr>
          <w:rFonts w:ascii="Cambria" w:eastAsia="Cambria" w:hAnsi="Cambria" w:cs="Cambria"/>
          <w:b/>
          <w:sz w:val="16"/>
          <w:szCs w:val="16"/>
        </w:rPr>
      </w:pPr>
    </w:p>
    <w:p w:rsidR="00B8157C" w:rsidRDefault="00B8157C">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B8157C">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Relation with other Modules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B8157C">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37FC">
            <w:pPr>
              <w:spacing w:line="360" w:lineRule="auto"/>
            </w:pPr>
            <w:r w:rsidRPr="000737FC">
              <w:t>General Geology</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37FC">
            <w:pPr>
              <w:spacing w:line="360" w:lineRule="auto"/>
            </w:pPr>
            <w:r>
              <w:t>One</w:t>
            </w:r>
          </w:p>
        </w:tc>
      </w:tr>
      <w:tr w:rsidR="00B8157C">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spacing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spacing w:line="360" w:lineRule="auto"/>
            </w:pPr>
            <w:r>
              <w:t>-</w:t>
            </w:r>
          </w:p>
        </w:tc>
      </w:tr>
    </w:tbl>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0" w:line="360" w:lineRule="auto"/>
        <w:rPr>
          <w:rFonts w:ascii="Cambria" w:eastAsia="Cambria" w:hAnsi="Cambria" w:cs="Cambria"/>
          <w:b/>
          <w:sz w:val="16"/>
          <w:szCs w:val="16"/>
        </w:rPr>
      </w:pPr>
    </w:p>
    <w:p w:rsidR="00B8157C" w:rsidRDefault="00B8157C">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8157C">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276" w:lineRule="auto"/>
              <w:jc w:val="center"/>
              <w:rPr>
                <w:b/>
                <w:color w:val="17365D"/>
                <w:sz w:val="28"/>
                <w:szCs w:val="28"/>
              </w:rPr>
            </w:pPr>
            <w:r>
              <w:rPr>
                <w:b/>
                <w:color w:val="17365D"/>
                <w:sz w:val="28"/>
                <w:szCs w:val="28"/>
              </w:rPr>
              <w:lastRenderedPageBreak/>
              <w:t>Module Aims, Learning Outcomes and Indicative Contents</w:t>
            </w:r>
          </w:p>
          <w:p w:rsidR="00B8157C" w:rsidRDefault="00072D0D">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jc w:val="both"/>
              <w:rPr>
                <w:b/>
                <w:sz w:val="24"/>
                <w:szCs w:val="24"/>
              </w:rPr>
            </w:pPr>
            <w:r>
              <w:rPr>
                <w:b/>
                <w:sz w:val="24"/>
                <w:szCs w:val="24"/>
              </w:rPr>
              <w:t xml:space="preserve"> Module Aims</w:t>
            </w:r>
          </w:p>
          <w:p w:rsidR="00B8157C" w:rsidRDefault="00072D0D">
            <w:pPr>
              <w:spacing w:line="276" w:lineRule="auto"/>
              <w:jc w:val="both"/>
              <w:rPr>
                <w:b/>
                <w:sz w:val="24"/>
                <w:szCs w:val="24"/>
              </w:rPr>
            </w:pPr>
            <w:r>
              <w:rPr>
                <w:rFonts w:cs="Times New Roman"/>
                <w:b/>
                <w:sz w:val="24"/>
                <w:szCs w:val="24"/>
                <w:rtl/>
              </w:rPr>
              <w:t>أهداف المادة الدراسية</w:t>
            </w:r>
          </w:p>
          <w:p w:rsidR="00B8157C" w:rsidRDefault="00B8157C">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B8157C" w:rsidRDefault="00C51170">
            <w:pPr>
              <w:spacing w:line="276" w:lineRule="auto"/>
              <w:jc w:val="both"/>
            </w:pPr>
            <w:r>
              <w:rPr>
                <w:rFonts w:ascii="Segoe UI" w:hAnsi="Segoe UI" w:cs="Segoe UI"/>
                <w:color w:val="374151"/>
                <w:shd w:val="clear" w:color="auto" w:fill="F7F7F8"/>
              </w:rPr>
              <w:t>Sedimentary facies are distinct rock units that display specific characteristics, such as grain size, sediment composition, and depositional environment. They provide valuable insights into the past geological conditions, including ancient climates, sea levels, and tectonic activity as well as facies classification. Analyzing sedimentary facies helps geologists reconstruct Earth's history and interpret the processes that shaped our planet over time.</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rPr>
                <w:b/>
                <w:sz w:val="24"/>
                <w:szCs w:val="24"/>
              </w:rPr>
            </w:pPr>
            <w:r>
              <w:rPr>
                <w:b/>
                <w:sz w:val="24"/>
                <w:szCs w:val="24"/>
              </w:rPr>
              <w:t>Module Learning Outcomes</w:t>
            </w:r>
          </w:p>
          <w:p w:rsidR="00B8157C" w:rsidRDefault="00B8157C">
            <w:pPr>
              <w:spacing w:line="276" w:lineRule="auto"/>
              <w:rPr>
                <w:b/>
                <w:sz w:val="24"/>
                <w:szCs w:val="24"/>
              </w:rPr>
            </w:pPr>
          </w:p>
          <w:p w:rsidR="00B8157C" w:rsidRDefault="00072D0D">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B40622" w:rsidRDefault="00B40622" w:rsidP="00B40622">
            <w:pPr>
              <w:rPr>
                <w:rFonts w:cs="Times New Roman"/>
                <w:sz w:val="24"/>
                <w:szCs w:val="24"/>
                <w:lang w:val="en-AU" w:eastAsia="en-AU"/>
              </w:rPr>
            </w:pPr>
            <w:r>
              <w:rPr>
                <w:rFonts w:cs="Times New Roman"/>
                <w:sz w:val="24"/>
                <w:szCs w:val="24"/>
                <w:lang w:eastAsia="en-AU"/>
              </w:rPr>
              <w:t>-</w:t>
            </w:r>
            <w:r>
              <w:rPr>
                <w:rFonts w:cs="Times New Roman"/>
                <w:sz w:val="24"/>
                <w:szCs w:val="24"/>
                <w:lang w:val="en-AU" w:eastAsia="en-AU"/>
              </w:rPr>
              <w:t>U</w:t>
            </w:r>
            <w:r w:rsidRPr="003E4F1E">
              <w:rPr>
                <w:rFonts w:cs="Times New Roman"/>
                <w:sz w:val="24"/>
                <w:szCs w:val="24"/>
                <w:lang w:val="en-AU" w:eastAsia="en-AU"/>
              </w:rPr>
              <w:t>nderstanding</w:t>
            </w:r>
            <w:r>
              <w:rPr>
                <w:rFonts w:cs="Times New Roman"/>
                <w:sz w:val="24"/>
                <w:szCs w:val="24"/>
                <w:lang w:val="en-AU" w:eastAsia="en-AU"/>
              </w:rPr>
              <w:t xml:space="preserve"> the importance of S</w:t>
            </w:r>
            <w:r>
              <w:rPr>
                <w:rFonts w:cs="Times New Roman"/>
                <w:sz w:val="24"/>
                <w:szCs w:val="24"/>
                <w:lang w:eastAsia="en-AU"/>
              </w:rPr>
              <w:t>sedimentology</w:t>
            </w:r>
            <w:r>
              <w:rPr>
                <w:rFonts w:cs="Times New Roman"/>
                <w:sz w:val="24"/>
                <w:szCs w:val="24"/>
                <w:lang w:val="en-AU" w:eastAsia="en-AU"/>
              </w:rPr>
              <w:t xml:space="preserve"> as one of the important geological sciences .  </w:t>
            </w:r>
          </w:p>
          <w:p w:rsidR="00B40622" w:rsidRPr="003E4F1E" w:rsidRDefault="00B40622" w:rsidP="00B40622">
            <w:pPr>
              <w:rPr>
                <w:rFonts w:cs="Times New Roman"/>
                <w:sz w:val="24"/>
                <w:szCs w:val="24"/>
                <w:lang w:val="en-AU" w:eastAsia="en-AU"/>
              </w:rPr>
            </w:pPr>
            <w:r>
              <w:rPr>
                <w:rFonts w:cs="Times New Roman"/>
                <w:sz w:val="24"/>
                <w:szCs w:val="24"/>
                <w:lang w:val="en-AU" w:eastAsia="en-AU"/>
              </w:rPr>
              <w:t>-</w:t>
            </w:r>
            <w:r w:rsidRPr="003E4F1E">
              <w:rPr>
                <w:rFonts w:cs="Times New Roman"/>
                <w:sz w:val="24"/>
                <w:szCs w:val="24"/>
                <w:lang w:val="en-AU" w:eastAsia="en-AU"/>
              </w:rPr>
              <w:t xml:space="preserve">Develop an understanding of how to </w:t>
            </w:r>
            <w:r>
              <w:rPr>
                <w:rFonts w:cs="Times New Roman"/>
                <w:sz w:val="24"/>
                <w:szCs w:val="24"/>
                <w:lang w:eastAsia="en-AU"/>
              </w:rPr>
              <w:t>identify the sedimentary facies and  their distribution</w:t>
            </w:r>
            <w:r w:rsidRPr="003E4F1E">
              <w:rPr>
                <w:rFonts w:cs="Times New Roman"/>
                <w:sz w:val="24"/>
                <w:szCs w:val="24"/>
                <w:lang w:val="en-AU" w:eastAsia="en-AU"/>
              </w:rPr>
              <w:t xml:space="preserve">. </w:t>
            </w:r>
          </w:p>
          <w:p w:rsidR="00B40622" w:rsidRPr="003E4F1E" w:rsidRDefault="00B40622" w:rsidP="00B40622">
            <w:pPr>
              <w:rPr>
                <w:rFonts w:cs="Times New Roman"/>
                <w:sz w:val="24"/>
                <w:szCs w:val="24"/>
                <w:lang w:val="en-AU" w:eastAsia="en-AU"/>
              </w:rPr>
            </w:pPr>
            <w:r>
              <w:rPr>
                <w:rFonts w:cs="Times New Roman"/>
                <w:sz w:val="24"/>
                <w:szCs w:val="24"/>
                <w:lang w:val="en-AU" w:eastAsia="en-AU"/>
              </w:rPr>
              <w:t>-</w:t>
            </w:r>
            <w:r>
              <w:rPr>
                <w:rFonts w:cs="Times New Roman"/>
                <w:sz w:val="24"/>
                <w:szCs w:val="24"/>
                <w:lang w:eastAsia="en-AU"/>
              </w:rPr>
              <w:t xml:space="preserve"> Identify</w:t>
            </w:r>
            <w:r w:rsidRPr="003E4F1E">
              <w:rPr>
                <w:rFonts w:cs="Times New Roman"/>
                <w:sz w:val="24"/>
                <w:szCs w:val="24"/>
                <w:lang w:val="en-AU" w:eastAsia="en-AU"/>
              </w:rPr>
              <w:t xml:space="preserve">  the types of </w:t>
            </w:r>
            <w:r>
              <w:rPr>
                <w:rFonts w:cs="Times New Roman"/>
                <w:sz w:val="24"/>
                <w:szCs w:val="24"/>
                <w:lang w:eastAsia="en-AU"/>
              </w:rPr>
              <w:t xml:space="preserve"> sedimentary facies </w:t>
            </w:r>
            <w:r w:rsidRPr="003E4F1E">
              <w:rPr>
                <w:rFonts w:cs="Times New Roman"/>
                <w:sz w:val="24"/>
                <w:szCs w:val="24"/>
                <w:lang w:val="en-AU" w:eastAsia="en-AU"/>
              </w:rPr>
              <w:t xml:space="preserve"> </w:t>
            </w:r>
            <w:r>
              <w:rPr>
                <w:rFonts w:cs="Times New Roman"/>
                <w:sz w:val="24"/>
                <w:szCs w:val="24"/>
                <w:lang w:val="en-AU" w:eastAsia="en-AU"/>
              </w:rPr>
              <w:t>and the difference between them.</w:t>
            </w:r>
          </w:p>
          <w:p w:rsidR="00B40622" w:rsidRPr="003E4F1E" w:rsidRDefault="00B40622" w:rsidP="00B40622">
            <w:pPr>
              <w:rPr>
                <w:rFonts w:cs="Times New Roman"/>
                <w:sz w:val="24"/>
                <w:szCs w:val="24"/>
                <w:lang w:val="en-AU" w:eastAsia="en-AU"/>
              </w:rPr>
            </w:pPr>
            <w:r>
              <w:rPr>
                <w:rFonts w:cs="Times New Roman"/>
                <w:sz w:val="24"/>
                <w:szCs w:val="24"/>
                <w:lang w:val="en-AU" w:eastAsia="en-AU"/>
              </w:rPr>
              <w:t>-U</w:t>
            </w:r>
            <w:r w:rsidRPr="003E4F1E">
              <w:rPr>
                <w:rFonts w:cs="Times New Roman"/>
                <w:sz w:val="24"/>
                <w:szCs w:val="24"/>
                <w:lang w:val="en-AU" w:eastAsia="en-AU"/>
              </w:rPr>
              <w:t xml:space="preserve">nderstanding of how to </w:t>
            </w:r>
            <w:r>
              <w:rPr>
                <w:rFonts w:cs="Times New Roman"/>
                <w:sz w:val="24"/>
                <w:szCs w:val="24"/>
                <w:lang w:eastAsia="en-AU"/>
              </w:rPr>
              <w:t xml:space="preserve">identify </w:t>
            </w:r>
            <w:r w:rsidRPr="003E4F1E">
              <w:rPr>
                <w:rFonts w:cs="Times New Roman"/>
                <w:sz w:val="24"/>
                <w:szCs w:val="24"/>
                <w:lang w:val="en-AU" w:eastAsia="en-AU"/>
              </w:rPr>
              <w:t xml:space="preserve"> </w:t>
            </w:r>
            <w:r>
              <w:rPr>
                <w:rFonts w:cs="Times New Roman"/>
                <w:sz w:val="24"/>
                <w:szCs w:val="24"/>
                <w:lang w:val="en-AU" w:eastAsia="en-AU"/>
              </w:rPr>
              <w:t xml:space="preserve">the </w:t>
            </w:r>
            <w:r>
              <w:rPr>
                <w:rFonts w:cs="Times New Roman"/>
                <w:sz w:val="24"/>
                <w:szCs w:val="24"/>
                <w:lang w:eastAsia="en-AU"/>
              </w:rPr>
              <w:t xml:space="preserve"> sedimentary facies </w:t>
            </w:r>
            <w:r>
              <w:rPr>
                <w:rFonts w:cs="Times New Roman"/>
                <w:sz w:val="24"/>
                <w:szCs w:val="24"/>
                <w:lang w:val="en-AU" w:eastAsia="en-AU"/>
              </w:rPr>
              <w:t>in the field .</w:t>
            </w:r>
          </w:p>
          <w:p w:rsidR="00B40622" w:rsidRPr="003E4F1E" w:rsidRDefault="00B40622" w:rsidP="00B40622">
            <w:pPr>
              <w:rPr>
                <w:rFonts w:cs="Times New Roman"/>
                <w:sz w:val="24"/>
                <w:szCs w:val="24"/>
                <w:lang w:val="en-AU" w:eastAsia="en-AU"/>
              </w:rPr>
            </w:pPr>
            <w:r>
              <w:rPr>
                <w:rFonts w:cs="Times New Roman"/>
                <w:sz w:val="24"/>
                <w:szCs w:val="24"/>
                <w:lang w:val="en-AU" w:eastAsia="en-AU"/>
              </w:rPr>
              <w:t>-</w:t>
            </w:r>
            <w:r w:rsidRPr="003E4F1E">
              <w:rPr>
                <w:rFonts w:cs="Times New Roman"/>
                <w:sz w:val="24"/>
                <w:szCs w:val="24"/>
                <w:lang w:val="en-AU" w:eastAsia="en-AU"/>
              </w:rPr>
              <w:t xml:space="preserve">Evaluate whether the resources or reserves attributed </w:t>
            </w:r>
            <w:r>
              <w:rPr>
                <w:rFonts w:cs="Times New Roman"/>
                <w:sz w:val="24"/>
                <w:szCs w:val="24"/>
                <w:lang w:val="en-AU" w:eastAsia="en-AU"/>
              </w:rPr>
              <w:t xml:space="preserve">to a completed interpretation </w:t>
            </w:r>
            <w:r w:rsidRPr="003E4F1E">
              <w:rPr>
                <w:rFonts w:cs="Times New Roman"/>
                <w:sz w:val="24"/>
                <w:szCs w:val="24"/>
                <w:lang w:val="en-AU" w:eastAsia="en-AU"/>
              </w:rPr>
              <w:t xml:space="preserve"> map are under or over estimated. </w:t>
            </w:r>
          </w:p>
          <w:p w:rsidR="00B8157C" w:rsidRPr="00B40622" w:rsidRDefault="00B40622" w:rsidP="00B40622">
            <w:pPr>
              <w:widowControl w:val="0"/>
              <w:shd w:val="clear" w:color="auto" w:fill="FFFFFF"/>
              <w:spacing w:line="276" w:lineRule="auto"/>
              <w:rPr>
                <w:color w:val="3F4A52"/>
                <w:lang w:val="en-AU"/>
              </w:rPr>
            </w:pPr>
            <w:r>
              <w:rPr>
                <w:rFonts w:cs="Times New Roman"/>
                <w:sz w:val="24"/>
                <w:szCs w:val="24"/>
                <w:lang w:val="en-AU" w:eastAsia="en-AU"/>
              </w:rPr>
              <w:t>-</w:t>
            </w:r>
            <w:r w:rsidRPr="003E4F1E">
              <w:rPr>
                <w:rFonts w:cs="Times New Roman"/>
                <w:sz w:val="24"/>
                <w:szCs w:val="24"/>
                <w:lang w:val="en-AU" w:eastAsia="en-AU"/>
              </w:rPr>
              <w:t xml:space="preserve"> Determine </w:t>
            </w:r>
            <w:r>
              <w:rPr>
                <w:rFonts w:cs="Times New Roman"/>
                <w:sz w:val="24"/>
                <w:szCs w:val="24"/>
                <w:lang w:val="en-AU" w:eastAsia="en-AU"/>
              </w:rPr>
              <w:t xml:space="preserve">the relationships between </w:t>
            </w:r>
            <w:r>
              <w:rPr>
                <w:rFonts w:cs="Times New Roman"/>
                <w:sz w:val="24"/>
                <w:szCs w:val="24"/>
                <w:lang w:eastAsia="en-AU"/>
              </w:rPr>
              <w:t xml:space="preserve"> sedimentary facies laterally and vertically</w:t>
            </w:r>
            <w:r>
              <w:rPr>
                <w:rFonts w:cs="Times New Roman"/>
                <w:sz w:val="24"/>
                <w:szCs w:val="24"/>
                <w:lang w:val="en-AU" w:eastAsia="en-AU"/>
              </w:rPr>
              <w:t xml:space="preserve"> </w:t>
            </w:r>
            <w:r w:rsidRPr="003E4F1E">
              <w:rPr>
                <w:rFonts w:cs="Times New Roman"/>
                <w:sz w:val="24"/>
                <w:szCs w:val="24"/>
                <w:lang w:val="en-AU" w:eastAsia="en-AU"/>
              </w:rPr>
              <w:t>.</w:t>
            </w:r>
          </w:p>
        </w:tc>
      </w:tr>
      <w:tr w:rsidR="00B8157C">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sz w:val="24"/>
                <w:szCs w:val="24"/>
              </w:rPr>
            </w:pPr>
            <w:r>
              <w:rPr>
                <w:b/>
                <w:sz w:val="24"/>
                <w:szCs w:val="24"/>
              </w:rPr>
              <w:t>Indicative Contents</w:t>
            </w:r>
          </w:p>
          <w:p w:rsidR="00B8157C" w:rsidRDefault="00072D0D">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both"/>
            </w:pPr>
            <w:r>
              <w:t xml:space="preserve">Through explanations and applications, using display screens, and presenting scientific films that explain the reality of what happens in nature. </w:t>
            </w:r>
          </w:p>
        </w:tc>
      </w:tr>
    </w:tbl>
    <w:p w:rsidR="00B8157C" w:rsidRDefault="00B8157C">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8157C">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276" w:lineRule="auto"/>
              <w:jc w:val="center"/>
              <w:rPr>
                <w:b/>
                <w:color w:val="17365D"/>
                <w:sz w:val="28"/>
                <w:szCs w:val="28"/>
              </w:rPr>
            </w:pPr>
            <w:r>
              <w:rPr>
                <w:b/>
                <w:color w:val="17365D"/>
                <w:sz w:val="28"/>
                <w:szCs w:val="28"/>
              </w:rPr>
              <w:t>Learning and Teaching Strategies</w:t>
            </w:r>
          </w:p>
          <w:p w:rsidR="00B8157C" w:rsidRDefault="00072D0D">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B8157C">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276" w:lineRule="auto"/>
            </w:pPr>
            <w:r>
              <w:t>Class Lecture</w:t>
            </w:r>
            <w:r>
              <w:tab/>
            </w:r>
          </w:p>
          <w:p w:rsidR="00B8157C" w:rsidRDefault="00072D0D">
            <w:pPr>
              <w:spacing w:line="276" w:lineRule="auto"/>
            </w:pPr>
            <w:r>
              <w:t>Laboratory</w:t>
            </w:r>
            <w:r>
              <w:tab/>
            </w:r>
          </w:p>
          <w:p w:rsidR="00B8157C" w:rsidRDefault="00072D0D" w:rsidP="00B40622">
            <w:pPr>
              <w:spacing w:line="276" w:lineRule="auto"/>
            </w:pPr>
            <w:r>
              <w:t>Practical Training</w:t>
            </w:r>
            <w:r>
              <w:tab/>
            </w:r>
            <w:r>
              <w:tab/>
            </w:r>
          </w:p>
          <w:p w:rsidR="00B8157C" w:rsidRDefault="00072D0D">
            <w:pPr>
              <w:spacing w:line="276" w:lineRule="auto"/>
            </w:pPr>
            <w:r>
              <w:t>Seminar</w:t>
            </w:r>
            <w:r>
              <w:tab/>
            </w:r>
          </w:p>
        </w:tc>
      </w:tr>
    </w:tbl>
    <w:p w:rsidR="00B8157C" w:rsidRDefault="00B8157C">
      <w:pPr>
        <w:spacing w:line="276" w:lineRule="auto"/>
        <w:rPr>
          <w:rFonts w:ascii="Cambria" w:eastAsia="Cambria" w:hAnsi="Cambria" w:cs="Cambria"/>
          <w:b/>
          <w:color w:val="000000"/>
          <w:sz w:val="36"/>
          <w:szCs w:val="36"/>
        </w:rPr>
      </w:pPr>
    </w:p>
    <w:p w:rsidR="00B8157C" w:rsidRDefault="00B8157C">
      <w:pPr>
        <w:spacing w:line="276" w:lineRule="auto"/>
        <w:rPr>
          <w:rFonts w:ascii="Cambria" w:eastAsia="Cambria" w:hAnsi="Cambria" w:cs="Cambria"/>
          <w:b/>
          <w:color w:val="000000"/>
          <w:sz w:val="36"/>
          <w:szCs w:val="36"/>
        </w:rPr>
      </w:pPr>
    </w:p>
    <w:p w:rsidR="00B8157C" w:rsidRDefault="00B8157C">
      <w:pPr>
        <w:spacing w:line="276" w:lineRule="auto"/>
        <w:rPr>
          <w:rFonts w:ascii="Cambria" w:eastAsia="Cambria" w:hAnsi="Cambria" w:cs="Cambria"/>
          <w:b/>
          <w:color w:val="000000"/>
          <w:sz w:val="36"/>
          <w:szCs w:val="36"/>
        </w:rPr>
      </w:pPr>
    </w:p>
    <w:p w:rsidR="00B8157C" w:rsidRDefault="00B8157C">
      <w:pPr>
        <w:spacing w:line="276" w:lineRule="auto"/>
        <w:rPr>
          <w:rFonts w:ascii="Cambria" w:eastAsia="Cambria" w:hAnsi="Cambria" w:cs="Cambria"/>
          <w:b/>
          <w:color w:val="000000"/>
          <w:sz w:val="36"/>
          <w:szCs w:val="36"/>
        </w:rPr>
      </w:pPr>
    </w:p>
    <w:p w:rsidR="00B8157C" w:rsidRDefault="00B8157C">
      <w:pPr>
        <w:spacing w:line="276" w:lineRule="auto"/>
        <w:rPr>
          <w:rFonts w:ascii="Cambria" w:eastAsia="Cambria" w:hAnsi="Cambria" w:cs="Cambria"/>
          <w:b/>
          <w:color w:val="000000"/>
          <w:sz w:val="36"/>
          <w:szCs w:val="36"/>
        </w:rPr>
      </w:pPr>
    </w:p>
    <w:p w:rsidR="00B8157C" w:rsidRDefault="00B8157C">
      <w:pPr>
        <w:spacing w:line="276" w:lineRule="auto"/>
        <w:rPr>
          <w:rFonts w:ascii="Cambria" w:eastAsia="Cambria" w:hAnsi="Cambria" w:cs="Cambria"/>
          <w:b/>
          <w:color w:val="000000"/>
          <w:sz w:val="36"/>
          <w:szCs w:val="36"/>
        </w:rPr>
      </w:pPr>
    </w:p>
    <w:p w:rsidR="00B40622" w:rsidRDefault="00B40622">
      <w:pPr>
        <w:spacing w:line="276" w:lineRule="auto"/>
        <w:rPr>
          <w:rFonts w:ascii="Cambria" w:eastAsia="Cambria" w:hAnsi="Cambria" w:cs="Cambria"/>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B8157C">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lastRenderedPageBreak/>
              <w:t>Student Workload (SWL)</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Structured SWL (h/sem)</w:t>
            </w:r>
          </w:p>
          <w:p w:rsidR="00B8157C" w:rsidRDefault="00072D0D">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pPr>
              <w:spacing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B8157C">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line="312" w:lineRule="auto"/>
              <w:rPr>
                <w:sz w:val="24"/>
                <w:szCs w:val="24"/>
              </w:rPr>
            </w:pP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Unstructured SWL (h/sem)</w:t>
            </w:r>
          </w:p>
          <w:p w:rsidR="00B8157C" w:rsidRDefault="00072D0D">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40622">
            <w:pPr>
              <w:spacing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B8157C">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B8157C">
            <w:pPr>
              <w:spacing w:line="312" w:lineRule="auto"/>
              <w:rPr>
                <w:sz w:val="24"/>
                <w:szCs w:val="24"/>
              </w:rPr>
            </w:pPr>
          </w:p>
        </w:tc>
      </w:tr>
      <w:tr w:rsidR="00B8157C">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sz w:val="24"/>
                <w:szCs w:val="24"/>
              </w:rPr>
            </w:pPr>
            <w:r>
              <w:rPr>
                <w:b/>
                <w:sz w:val="24"/>
                <w:szCs w:val="24"/>
              </w:rPr>
              <w:t>Total SWL (h/sem)</w:t>
            </w:r>
          </w:p>
          <w:p w:rsidR="00B8157C" w:rsidRDefault="00072D0D">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157C" w:rsidRDefault="00072D0D" w:rsidP="000737FC">
            <w:pPr>
              <w:spacing w:line="312" w:lineRule="auto"/>
              <w:rPr>
                <w:sz w:val="24"/>
                <w:szCs w:val="24"/>
              </w:rPr>
            </w:pPr>
            <w:r>
              <w:rPr>
                <w:sz w:val="24"/>
                <w:szCs w:val="24"/>
              </w:rPr>
              <w:t>1</w:t>
            </w:r>
            <w:r w:rsidR="000737FC">
              <w:rPr>
                <w:sz w:val="24"/>
                <w:szCs w:val="24"/>
              </w:rPr>
              <w:t>50</w:t>
            </w:r>
          </w:p>
        </w:tc>
      </w:tr>
    </w:tbl>
    <w:p w:rsidR="00B8157C" w:rsidRDefault="00B8157C">
      <w:pPr>
        <w:spacing w:after="0" w:line="312" w:lineRule="auto"/>
        <w:rPr>
          <w:rFonts w:ascii="Cambria" w:eastAsia="Cambria" w:hAnsi="Cambria" w:cs="Cambria"/>
          <w:b/>
          <w:color w:val="000000"/>
        </w:rPr>
      </w:pPr>
    </w:p>
    <w:p w:rsidR="00B8157C" w:rsidRDefault="00B8157C">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B8157C">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12" w:lineRule="auto"/>
              <w:jc w:val="center"/>
              <w:rPr>
                <w:b/>
                <w:color w:val="17365D"/>
                <w:sz w:val="28"/>
                <w:szCs w:val="28"/>
              </w:rPr>
            </w:pPr>
            <w:r>
              <w:rPr>
                <w:b/>
                <w:color w:val="17365D"/>
                <w:sz w:val="28"/>
                <w:szCs w:val="28"/>
              </w:rPr>
              <w:t>Module Evaluation</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B8157C">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B8157C" w:rsidRDefault="00B8157C">
            <w:pPr>
              <w:spacing w:line="312" w:lineRule="auto"/>
              <w:ind w:left="360" w:hanging="720"/>
              <w:rPr>
                <w:b/>
                <w:sz w:val="20"/>
                <w:szCs w:val="20"/>
              </w:rPr>
            </w:pPr>
          </w:p>
          <w:p w:rsidR="00B8157C" w:rsidRDefault="00072D0D">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12" w:lineRule="auto"/>
              <w:rPr>
                <w:b/>
              </w:rPr>
            </w:pPr>
            <w:r>
              <w:rPr>
                <w:b/>
              </w:rPr>
              <w:t>Relevant Learning Outcome</w:t>
            </w:r>
          </w:p>
        </w:tc>
      </w:tr>
      <w:tr w:rsidR="00B815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B8157C" w:rsidRDefault="00B8157C">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r w:rsidR="00B8157C">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B8157C" w:rsidRDefault="00B8157C">
            <w:pPr>
              <w:spacing w:line="312" w:lineRule="auto"/>
            </w:pPr>
          </w:p>
        </w:tc>
      </w:tr>
    </w:tbl>
    <w:p w:rsidR="00B8157C" w:rsidRDefault="00B8157C">
      <w:pPr>
        <w:spacing w:after="0" w:line="312" w:lineRule="auto"/>
        <w:rPr>
          <w:rFonts w:ascii="Cambria" w:eastAsia="Cambria" w:hAnsi="Cambria" w:cs="Cambria"/>
          <w:b/>
          <w:color w:val="000000"/>
          <w:sz w:val="16"/>
          <w:szCs w:val="16"/>
        </w:rPr>
      </w:pPr>
    </w:p>
    <w:p w:rsidR="00B8157C" w:rsidRDefault="00B8157C">
      <w:pPr>
        <w:spacing w:after="0" w:line="312" w:lineRule="auto"/>
        <w:rPr>
          <w:rFonts w:ascii="Cambria" w:eastAsia="Cambria" w:hAnsi="Cambria" w:cs="Cambria"/>
          <w:b/>
          <w:color w:val="000000"/>
          <w:sz w:val="16"/>
          <w:szCs w:val="16"/>
        </w:rPr>
      </w:pPr>
    </w:p>
    <w:p w:rsidR="00B8157C" w:rsidRDefault="00B8157C">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8157C">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Delivery Plan (Weekly Syllabus)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sz w:val="24"/>
                <w:szCs w:val="24"/>
              </w:rPr>
            </w:pPr>
            <w:r>
              <w:rPr>
                <w:b/>
              </w:rPr>
              <w:t>Material Covered</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w:t>
            </w:r>
          </w:p>
        </w:tc>
        <w:tc>
          <w:tcPr>
            <w:tcW w:w="9240" w:type="dxa"/>
            <w:shd w:val="clear" w:color="auto" w:fill="auto"/>
          </w:tcPr>
          <w:p w:rsidR="00B8157C" w:rsidRDefault="00E4233E">
            <w:pPr>
              <w:jc w:val="both"/>
              <w:rPr>
                <w:sz w:val="24"/>
                <w:szCs w:val="24"/>
              </w:rPr>
            </w:pPr>
            <w:r>
              <w:rPr>
                <w:rFonts w:cs="Times New Roman"/>
                <w:sz w:val="24"/>
                <w:szCs w:val="24"/>
                <w:lang w:eastAsia="en-AU"/>
              </w:rPr>
              <w:t xml:space="preserve">Sedimentology </w:t>
            </w:r>
            <w:r w:rsidRPr="0051473C">
              <w:rPr>
                <w:rFonts w:cs="Times New Roman"/>
                <w:sz w:val="24"/>
                <w:szCs w:val="24"/>
              </w:rPr>
              <w:t xml:space="preserve"> "Introduction and Identification "  </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2</w:t>
            </w:r>
          </w:p>
        </w:tc>
        <w:tc>
          <w:tcPr>
            <w:tcW w:w="9240" w:type="dxa"/>
            <w:shd w:val="clear" w:color="auto" w:fill="auto"/>
          </w:tcPr>
          <w:p w:rsidR="00B8157C" w:rsidRDefault="00E4233E">
            <w:pPr>
              <w:pBdr>
                <w:top w:val="nil"/>
                <w:left w:val="nil"/>
                <w:bottom w:val="nil"/>
                <w:right w:val="nil"/>
                <w:between w:val="nil"/>
              </w:pBdr>
              <w:jc w:val="both"/>
              <w:rPr>
                <w:rFonts w:ascii="Times New Roman" w:eastAsia="Times New Roman" w:hAnsi="Times New Roman" w:cs="Times New Roman"/>
                <w:sz w:val="28"/>
                <w:szCs w:val="28"/>
              </w:rPr>
            </w:pPr>
            <w:r w:rsidRPr="0051473C">
              <w:rPr>
                <w:rFonts w:cs="Times New Roman"/>
                <w:sz w:val="24"/>
                <w:szCs w:val="24"/>
              </w:rPr>
              <w:t xml:space="preserve">Principles of  </w:t>
            </w:r>
            <w:r>
              <w:rPr>
                <w:rFonts w:cs="Times New Roman"/>
                <w:sz w:val="24"/>
                <w:szCs w:val="24"/>
                <w:lang w:eastAsia="en-AU"/>
              </w:rPr>
              <w:t xml:space="preserve"> sedimentary facies identification</w:t>
            </w:r>
          </w:p>
        </w:tc>
      </w:tr>
      <w:tr w:rsidR="00B8157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3</w:t>
            </w:r>
          </w:p>
        </w:tc>
        <w:tc>
          <w:tcPr>
            <w:tcW w:w="9240" w:type="dxa"/>
            <w:shd w:val="clear" w:color="auto" w:fill="auto"/>
          </w:tcPr>
          <w:p w:rsidR="00B8157C" w:rsidRDefault="00E4233E">
            <w:pPr>
              <w:jc w:val="both"/>
              <w:rPr>
                <w:sz w:val="24"/>
                <w:szCs w:val="24"/>
              </w:rPr>
            </w:pPr>
            <w:r>
              <w:rPr>
                <w:rFonts w:cs="Times New Roman"/>
                <w:sz w:val="24"/>
                <w:szCs w:val="24"/>
                <w:lang w:eastAsia="en-AU"/>
              </w:rPr>
              <w:t xml:space="preserve">Sedimentary facies </w:t>
            </w:r>
            <w:r w:rsidRPr="0051473C">
              <w:rPr>
                <w:rFonts w:cs="Times New Roman"/>
                <w:sz w:val="24"/>
                <w:szCs w:val="24"/>
              </w:rPr>
              <w:t xml:space="preserve"> Classification</w:t>
            </w:r>
            <w:r>
              <w:rPr>
                <w:rFonts w:cs="Times New Roman"/>
                <w:sz w:val="24"/>
                <w:szCs w:val="24"/>
              </w:rPr>
              <w:t xml:space="preserve"> "</w:t>
            </w:r>
            <w:r>
              <w:rPr>
                <w:rFonts w:cs="Times New Roman"/>
                <w:sz w:val="24"/>
                <w:szCs w:val="24"/>
                <w:lang w:eastAsia="en-AU"/>
              </w:rPr>
              <w:t xml:space="preserve"> sedimentary facies types"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4</w:t>
            </w:r>
          </w:p>
        </w:tc>
        <w:tc>
          <w:tcPr>
            <w:tcW w:w="9240" w:type="dxa"/>
            <w:shd w:val="clear" w:color="auto" w:fill="auto"/>
          </w:tcPr>
          <w:p w:rsidR="00B8157C" w:rsidRDefault="00E4233E">
            <w:pPr>
              <w:jc w:val="both"/>
              <w:rPr>
                <w:sz w:val="24"/>
                <w:szCs w:val="24"/>
              </w:rPr>
            </w:pPr>
            <w:r>
              <w:rPr>
                <w:rFonts w:cs="Times New Roman"/>
                <w:sz w:val="24"/>
                <w:szCs w:val="24"/>
                <w:lang w:eastAsia="en-AU"/>
              </w:rPr>
              <w:t xml:space="preserve">Sedimentary facies </w:t>
            </w:r>
            <w:r w:rsidRPr="0051473C">
              <w:rPr>
                <w:rFonts w:eastAsia="Arial" w:cs="Times New Roman"/>
                <w:bCs/>
                <w:iCs/>
                <w:sz w:val="24"/>
                <w:szCs w:val="24"/>
              </w:rPr>
              <w:t xml:space="preserve"> Units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5</w:t>
            </w:r>
          </w:p>
        </w:tc>
        <w:tc>
          <w:tcPr>
            <w:tcW w:w="9240" w:type="dxa"/>
            <w:shd w:val="clear" w:color="auto" w:fill="auto"/>
          </w:tcPr>
          <w:p w:rsidR="00B8157C" w:rsidRDefault="00E4233E" w:rsidP="00E4233E">
            <w:pPr>
              <w:jc w:val="both"/>
              <w:rPr>
                <w:sz w:val="24"/>
                <w:szCs w:val="24"/>
              </w:rPr>
            </w:pPr>
            <w:r w:rsidRPr="0051473C">
              <w:rPr>
                <w:rFonts w:eastAsia="Arial" w:cs="Times New Roman"/>
                <w:bCs/>
                <w:sz w:val="24"/>
                <w:szCs w:val="24"/>
              </w:rPr>
              <w:t xml:space="preserve">Nomenclature </w:t>
            </w:r>
            <w:r>
              <w:rPr>
                <w:rFonts w:eastAsia="Arial" w:cs="Times New Roman"/>
                <w:bCs/>
                <w:sz w:val="24"/>
                <w:szCs w:val="24"/>
              </w:rPr>
              <w:t xml:space="preserve">of </w:t>
            </w:r>
            <w:r>
              <w:rPr>
                <w:rFonts w:cs="Times New Roman"/>
                <w:sz w:val="24"/>
                <w:szCs w:val="24"/>
                <w:lang w:eastAsia="en-AU"/>
              </w:rPr>
              <w:t xml:space="preserve"> Sedimentary facies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6</w:t>
            </w:r>
          </w:p>
        </w:tc>
        <w:tc>
          <w:tcPr>
            <w:tcW w:w="9240" w:type="dxa"/>
            <w:shd w:val="clear" w:color="auto" w:fill="auto"/>
          </w:tcPr>
          <w:p w:rsidR="00B8157C" w:rsidRDefault="00E4233E" w:rsidP="00E4233E">
            <w:pPr>
              <w:jc w:val="both"/>
              <w:rPr>
                <w:sz w:val="24"/>
                <w:szCs w:val="24"/>
              </w:rPr>
            </w:pPr>
            <w:r>
              <w:rPr>
                <w:rFonts w:cs="Times New Roman"/>
                <w:sz w:val="24"/>
                <w:szCs w:val="24"/>
              </w:rPr>
              <w:t>Lithostratigraphy and Lithostratigraphic facies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7</w:t>
            </w:r>
          </w:p>
        </w:tc>
        <w:tc>
          <w:tcPr>
            <w:tcW w:w="9240" w:type="dxa"/>
            <w:shd w:val="clear" w:color="auto" w:fill="auto"/>
          </w:tcPr>
          <w:p w:rsidR="00B8157C" w:rsidRDefault="00E4233E" w:rsidP="00E4233E">
            <w:pPr>
              <w:jc w:val="both"/>
              <w:rPr>
                <w:sz w:val="24"/>
                <w:szCs w:val="24"/>
              </w:rPr>
            </w:pPr>
            <w:r>
              <w:rPr>
                <w:rFonts w:cs="Times New Roman"/>
                <w:sz w:val="24"/>
                <w:szCs w:val="24"/>
              </w:rPr>
              <w:t>Biostratigraphy and biostratigraphic fa</w:t>
            </w:r>
            <w:r w:rsidRPr="00E4233E">
              <w:rPr>
                <w:rFonts w:cs="Times New Roman"/>
                <w:color w:val="FF0000"/>
                <w:sz w:val="24"/>
                <w:szCs w:val="24"/>
              </w:rPr>
              <w:t>cies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8</w:t>
            </w:r>
          </w:p>
        </w:tc>
        <w:tc>
          <w:tcPr>
            <w:tcW w:w="9240" w:type="dxa"/>
            <w:shd w:val="clear" w:color="auto" w:fill="auto"/>
          </w:tcPr>
          <w:p w:rsidR="00B8157C" w:rsidRDefault="00072D0D">
            <w:pPr>
              <w:jc w:val="both"/>
              <w:rPr>
                <w:sz w:val="24"/>
                <w:szCs w:val="24"/>
              </w:rPr>
            </w:pPr>
            <w:r>
              <w:rPr>
                <w:sz w:val="24"/>
                <w:szCs w:val="24"/>
              </w:rPr>
              <w:t>Self-potential SP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9</w:t>
            </w:r>
          </w:p>
        </w:tc>
        <w:tc>
          <w:tcPr>
            <w:tcW w:w="9240" w:type="dxa"/>
            <w:shd w:val="clear" w:color="auto" w:fill="auto"/>
          </w:tcPr>
          <w:p w:rsidR="00B8157C" w:rsidRDefault="00072D0D">
            <w:pPr>
              <w:jc w:val="center"/>
              <w:rPr>
                <w:sz w:val="24"/>
                <w:szCs w:val="24"/>
              </w:rPr>
            </w:pPr>
            <w:r>
              <w:rPr>
                <w:sz w:val="24"/>
                <w:szCs w:val="24"/>
              </w:rPr>
              <w:t>Midterm exam</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lastRenderedPageBreak/>
              <w:t>Week 10</w:t>
            </w:r>
          </w:p>
        </w:tc>
        <w:tc>
          <w:tcPr>
            <w:tcW w:w="9240" w:type="dxa"/>
            <w:shd w:val="clear" w:color="auto" w:fill="auto"/>
          </w:tcPr>
          <w:p w:rsidR="00B8157C" w:rsidRDefault="00072D0D">
            <w:pPr>
              <w:jc w:val="both"/>
              <w:rPr>
                <w:sz w:val="24"/>
                <w:szCs w:val="24"/>
              </w:rPr>
            </w:pPr>
            <w:r>
              <w:rPr>
                <w:sz w:val="24"/>
                <w:szCs w:val="24"/>
              </w:rPr>
              <w:t>Resistivity and conductivity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11</w:t>
            </w:r>
          </w:p>
        </w:tc>
        <w:tc>
          <w:tcPr>
            <w:tcW w:w="9240" w:type="dxa"/>
            <w:shd w:val="clear" w:color="auto" w:fill="auto"/>
          </w:tcPr>
          <w:p w:rsidR="00B8157C" w:rsidRDefault="00072D0D">
            <w:pPr>
              <w:numPr>
                <w:ilvl w:val="0"/>
                <w:numId w:val="3"/>
              </w:numPr>
              <w:jc w:val="both"/>
              <w:rPr>
                <w:sz w:val="24"/>
                <w:szCs w:val="24"/>
              </w:rPr>
            </w:pPr>
            <w:r>
              <w:rPr>
                <w:sz w:val="24"/>
                <w:szCs w:val="24"/>
              </w:rPr>
              <w:t>The Laterolog</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12</w:t>
            </w:r>
          </w:p>
        </w:tc>
        <w:tc>
          <w:tcPr>
            <w:tcW w:w="9240" w:type="dxa"/>
            <w:shd w:val="clear" w:color="auto" w:fill="auto"/>
          </w:tcPr>
          <w:p w:rsidR="00B8157C" w:rsidRDefault="00072D0D">
            <w:pPr>
              <w:numPr>
                <w:ilvl w:val="0"/>
                <w:numId w:val="3"/>
              </w:numPr>
              <w:jc w:val="both"/>
              <w:rPr>
                <w:sz w:val="24"/>
                <w:szCs w:val="24"/>
              </w:rPr>
            </w:pPr>
            <w:r>
              <w:rPr>
                <w:sz w:val="24"/>
                <w:szCs w:val="24"/>
              </w:rPr>
              <w:t>Induction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13</w:t>
            </w:r>
          </w:p>
        </w:tc>
        <w:tc>
          <w:tcPr>
            <w:tcW w:w="9240" w:type="dxa"/>
            <w:shd w:val="clear" w:color="auto" w:fill="auto"/>
          </w:tcPr>
          <w:p w:rsidR="00B8157C" w:rsidRDefault="00072D0D">
            <w:pPr>
              <w:numPr>
                <w:ilvl w:val="0"/>
                <w:numId w:val="3"/>
              </w:numPr>
              <w:jc w:val="both"/>
              <w:rPr>
                <w:sz w:val="24"/>
                <w:szCs w:val="24"/>
              </w:rPr>
            </w:pPr>
            <w:r>
              <w:rPr>
                <w:sz w:val="24"/>
                <w:szCs w:val="24"/>
              </w:rPr>
              <w:t>Microresistivity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14</w:t>
            </w:r>
          </w:p>
        </w:tc>
        <w:tc>
          <w:tcPr>
            <w:tcW w:w="9240" w:type="dxa"/>
            <w:shd w:val="clear" w:color="auto" w:fill="auto"/>
          </w:tcPr>
          <w:p w:rsidR="00B8157C" w:rsidRDefault="00072D0D">
            <w:pPr>
              <w:jc w:val="both"/>
              <w:rPr>
                <w:sz w:val="24"/>
                <w:szCs w:val="24"/>
              </w:rPr>
            </w:pPr>
            <w:r>
              <w:rPr>
                <w:sz w:val="24"/>
                <w:szCs w:val="24"/>
              </w:rPr>
              <w:t>Image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15</w:t>
            </w:r>
          </w:p>
        </w:tc>
        <w:tc>
          <w:tcPr>
            <w:tcW w:w="9240" w:type="dxa"/>
            <w:shd w:val="clear" w:color="auto" w:fill="auto"/>
          </w:tcPr>
          <w:p w:rsidR="00B8157C" w:rsidRDefault="00072D0D">
            <w:pPr>
              <w:jc w:val="center"/>
              <w:rPr>
                <w:sz w:val="24"/>
                <w:szCs w:val="24"/>
              </w:rPr>
            </w:pPr>
            <w:r>
              <w:rPr>
                <w:sz w:val="24"/>
                <w:szCs w:val="24"/>
              </w:rPr>
              <w:t>Second Midterm Exam</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b/>
              </w:rPr>
            </w:pPr>
            <w:r>
              <w:rPr>
                <w:b/>
              </w:rPr>
              <w:t>Preparatory week before the final Exam</w:t>
            </w:r>
          </w:p>
        </w:tc>
      </w:tr>
    </w:tbl>
    <w:p w:rsidR="00B8157C" w:rsidRDefault="00B8157C">
      <w:pPr>
        <w:tabs>
          <w:tab w:val="center" w:pos="3870"/>
        </w:tabs>
        <w:spacing w:after="0" w:line="360" w:lineRule="auto"/>
        <w:ind w:left="1985" w:hanging="1985"/>
        <w:jc w:val="both"/>
        <w:rPr>
          <w:b/>
          <w:sz w:val="24"/>
          <w:szCs w:val="24"/>
        </w:rPr>
      </w:pPr>
    </w:p>
    <w:p w:rsidR="00B8157C" w:rsidRDefault="00B8157C">
      <w:pPr>
        <w:rPr>
          <w:rFonts w:ascii="Cambria" w:eastAsia="Cambria" w:hAnsi="Cambria" w:cs="Cambria"/>
        </w:rPr>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8157C">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60" w:lineRule="auto"/>
              <w:jc w:val="center"/>
              <w:rPr>
                <w:b/>
                <w:color w:val="17365D"/>
                <w:sz w:val="28"/>
                <w:szCs w:val="28"/>
              </w:rPr>
            </w:pPr>
            <w:r>
              <w:rPr>
                <w:b/>
                <w:color w:val="17365D"/>
                <w:sz w:val="28"/>
                <w:szCs w:val="28"/>
              </w:rPr>
              <w:t>Delivery Plan (Weekly Lab. Syllabus)</w:t>
            </w:r>
          </w:p>
          <w:p w:rsidR="00B8157C" w:rsidRDefault="00072D0D">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8157C" w:rsidRDefault="00072D0D">
            <w:pPr>
              <w:spacing w:line="360" w:lineRule="auto"/>
              <w:rPr>
                <w:b/>
                <w:sz w:val="24"/>
                <w:szCs w:val="24"/>
              </w:rPr>
            </w:pPr>
            <w:r>
              <w:rPr>
                <w:b/>
              </w:rPr>
              <w:t>Material Covered</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Time lag corrections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Borehole environment and corrections of logs</w:t>
            </w:r>
          </w:p>
        </w:tc>
      </w:tr>
      <w:tr w:rsidR="00B8157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Lithology detection from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Lithology and Fluids detection from logs</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Type of fluid(s) and identification</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Fluid amounts and Pay zone prediction</w:t>
            </w:r>
          </w:p>
        </w:tc>
      </w:tr>
      <w:tr w:rsidR="00B8157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60" w:lineRule="auto"/>
              <w:rPr>
                <w:sz w:val="24"/>
                <w:szCs w:val="24"/>
              </w:rPr>
            </w:pPr>
            <w:r>
              <w:rPr>
                <w:sz w:val="24"/>
                <w:szCs w:val="24"/>
              </w:rPr>
              <w:t>Cross-plots</w:t>
            </w:r>
          </w:p>
        </w:tc>
      </w:tr>
    </w:tbl>
    <w:p w:rsidR="00B8157C" w:rsidRDefault="00B8157C">
      <w:pPr>
        <w:tabs>
          <w:tab w:val="center" w:pos="3870"/>
        </w:tabs>
        <w:spacing w:after="0" w:line="360" w:lineRule="auto"/>
        <w:ind w:left="1985"/>
        <w:jc w:val="both"/>
        <w:rPr>
          <w:rFonts w:ascii="Times New Roman" w:eastAsia="Times New Roman" w:hAnsi="Times New Roman" w:cs="Times New Roman"/>
          <w:b/>
          <w:sz w:val="32"/>
          <w:szCs w:val="32"/>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B8157C">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B8157C" w:rsidRDefault="00072D0D">
            <w:pPr>
              <w:spacing w:line="312" w:lineRule="auto"/>
              <w:jc w:val="center"/>
              <w:rPr>
                <w:b/>
                <w:color w:val="17365D"/>
                <w:sz w:val="28"/>
                <w:szCs w:val="28"/>
              </w:rPr>
            </w:pPr>
            <w:r>
              <w:rPr>
                <w:b/>
                <w:color w:val="17365D"/>
                <w:sz w:val="28"/>
                <w:szCs w:val="28"/>
              </w:rPr>
              <w:t>Learning and Teaching Resources</w:t>
            </w:r>
          </w:p>
          <w:p w:rsidR="00B8157C" w:rsidRDefault="00072D0D">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B8157C">
        <w:tc>
          <w:tcPr>
            <w:tcW w:w="2340" w:type="dxa"/>
            <w:tcBorders>
              <w:top w:val="single" w:sz="4" w:space="0" w:color="000000"/>
              <w:left w:val="single" w:sz="4" w:space="0" w:color="000000"/>
              <w:bottom w:val="single" w:sz="4" w:space="0" w:color="000000"/>
              <w:right w:val="nil"/>
            </w:tcBorders>
            <w:vAlign w:val="center"/>
          </w:tcPr>
          <w:p w:rsidR="00B8157C" w:rsidRDefault="00B8157C">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157C" w:rsidRDefault="00072D0D">
            <w:pPr>
              <w:spacing w:line="312" w:lineRule="auto"/>
              <w:jc w:val="center"/>
              <w:rPr>
                <w:b/>
              </w:rPr>
            </w:pPr>
            <w:r>
              <w:rPr>
                <w:b/>
              </w:rPr>
              <w:t>Available in the Library?</w:t>
            </w:r>
          </w:p>
        </w:tc>
      </w:tr>
      <w:tr w:rsidR="00B8157C">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pPr>
            <w:r>
              <w:t xml:space="preserve">1- The Geological Interpretation of well logs (2000), Malcolm Rider (second edition), Whittles Publishing. </w:t>
            </w:r>
          </w:p>
          <w:p w:rsidR="00B8157C" w:rsidRDefault="00072D0D">
            <w:pPr>
              <w:spacing w:line="312" w:lineRule="auto"/>
            </w:pPr>
            <w:r>
              <w:t>2- Basic Well Log Analysis, (2004), George Asquith and Daniel Krygowski, (second edition), AAPG.</w:t>
            </w:r>
          </w:p>
        </w:tc>
        <w:tc>
          <w:tcPr>
            <w:tcW w:w="23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center"/>
              <w:rPr>
                <w:color w:val="FF0000"/>
              </w:rPr>
            </w:pPr>
            <w:r>
              <w:rPr>
                <w:color w:val="FF0000"/>
              </w:rPr>
              <w:t>Y</w:t>
            </w:r>
          </w:p>
        </w:tc>
      </w:tr>
      <w:tr w:rsidR="00B8157C">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B8157C" w:rsidRDefault="00072D0D">
            <w:pPr>
              <w:spacing w:line="312" w:lineRule="auto"/>
            </w:pPr>
            <w:r>
              <w:t xml:space="preserve">1- Principles of Wireline Logging Technology, China National Logging Corporation (CNLC). </w:t>
            </w:r>
          </w:p>
          <w:p w:rsidR="00B8157C" w:rsidRDefault="00072D0D">
            <w:pPr>
              <w:spacing w:line="312" w:lineRule="auto"/>
            </w:pPr>
            <w:r>
              <w:t xml:space="preserve">2- Log Analysis of Subsurface Geology (1985) John H. Doveton. </w:t>
            </w:r>
          </w:p>
          <w:p w:rsidR="00B8157C" w:rsidRDefault="00072D0D">
            <w:pPr>
              <w:spacing w:line="312" w:lineRule="auto"/>
            </w:pPr>
            <w:r>
              <w:t xml:space="preserve">3- Well Logging for Earth Scientists, 2nd Edition (2008), by Darwin V. Ellis and Julian M. Singer. </w:t>
            </w:r>
          </w:p>
          <w:p w:rsidR="00B8157C" w:rsidRDefault="00072D0D">
            <w:pPr>
              <w:spacing w:line="312" w:lineRule="auto"/>
            </w:pPr>
            <w:r>
              <w:t xml:space="preserve">4- Well Logging and Formation Evaluation (2005), by Toby </w:t>
            </w:r>
            <w:r>
              <w:lastRenderedPageBreak/>
              <w:t>Darling.</w:t>
            </w:r>
          </w:p>
          <w:p w:rsidR="00B8157C" w:rsidRDefault="00072D0D">
            <w:pPr>
              <w:spacing w:line="312" w:lineRule="auto"/>
            </w:pPr>
            <w:bookmarkStart w:id="2" w:name="_30j0zll" w:colFirst="0" w:colLast="0"/>
            <w:bookmarkEnd w:id="2"/>
            <w:r>
              <w:t>5- Brown, A., 2004, Interpretation of three-dimensional seismic data; AAPG Memoir 42, 534 p.</w:t>
            </w:r>
          </w:p>
        </w:tc>
        <w:tc>
          <w:tcPr>
            <w:tcW w:w="2340" w:type="dxa"/>
            <w:tcBorders>
              <w:top w:val="single" w:sz="4" w:space="0" w:color="000000"/>
              <w:left w:val="single" w:sz="4" w:space="0" w:color="000000"/>
              <w:bottom w:val="single" w:sz="4" w:space="0" w:color="000000"/>
              <w:right w:val="single" w:sz="4" w:space="0" w:color="000000"/>
            </w:tcBorders>
            <w:vAlign w:val="center"/>
          </w:tcPr>
          <w:p w:rsidR="00B8157C" w:rsidRDefault="00072D0D">
            <w:pPr>
              <w:spacing w:line="312" w:lineRule="auto"/>
              <w:jc w:val="center"/>
            </w:pPr>
            <w:r>
              <w:lastRenderedPageBreak/>
              <w:t>y</w:t>
            </w:r>
          </w:p>
        </w:tc>
      </w:tr>
      <w:tr w:rsidR="00B8157C">
        <w:tc>
          <w:tcPr>
            <w:tcW w:w="2340" w:type="dxa"/>
            <w:tcBorders>
              <w:top w:val="single" w:sz="4" w:space="0" w:color="000000"/>
              <w:left w:val="single" w:sz="4" w:space="0" w:color="000000"/>
              <w:bottom w:val="single" w:sz="4" w:space="0" w:color="000000"/>
              <w:right w:val="nil"/>
            </w:tcBorders>
            <w:shd w:val="clear" w:color="auto" w:fill="DAEEF3"/>
            <w:vAlign w:val="center"/>
          </w:tcPr>
          <w:p w:rsidR="00B8157C" w:rsidRDefault="00072D0D">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B8157C" w:rsidRDefault="009A28DD">
            <w:pPr>
              <w:spacing w:line="312" w:lineRule="auto"/>
              <w:ind w:left="180"/>
            </w:pPr>
            <w:hyperlink r:id="rId8">
              <w:r w:rsidR="00072D0D">
                <w:rPr>
                  <w:rFonts w:ascii="Cambria" w:eastAsia="Cambria" w:hAnsi="Cambria" w:cs="Cambria"/>
                  <w:color w:val="0000FF"/>
                  <w:sz w:val="24"/>
                  <w:szCs w:val="24"/>
                  <w:u w:val="single"/>
                </w:rPr>
                <w:t>https://www.sciencedirect.com/topics/earth-and-planetary-sciences/well-logging</w:t>
              </w:r>
            </w:hyperlink>
            <w:r w:rsidR="00072D0D">
              <w:rPr>
                <w:rFonts w:ascii="Cambria" w:eastAsia="Cambria" w:hAnsi="Cambria" w:cs="Cambria"/>
                <w:sz w:val="24"/>
                <w:szCs w:val="24"/>
              </w:rPr>
              <w:t xml:space="preserve"> </w:t>
            </w:r>
          </w:p>
        </w:tc>
      </w:tr>
    </w:tbl>
    <w:p w:rsidR="00B8157C" w:rsidRDefault="00072D0D">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B8157C">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B8157C" w:rsidRDefault="00072D0D">
            <w:pPr>
              <w:tabs>
                <w:tab w:val="left" w:pos="1890"/>
                <w:tab w:val="center" w:pos="4544"/>
              </w:tabs>
              <w:ind w:right="1152"/>
              <w:rPr>
                <w:b/>
                <w:sz w:val="28"/>
                <w:szCs w:val="28"/>
              </w:rPr>
            </w:pPr>
            <w:r>
              <w:rPr>
                <w:b/>
                <w:sz w:val="28"/>
                <w:szCs w:val="28"/>
              </w:rPr>
              <w:tab/>
            </w:r>
            <w:r>
              <w:rPr>
                <w:b/>
                <w:sz w:val="28"/>
                <w:szCs w:val="28"/>
              </w:rPr>
              <w:tab/>
              <w:t xml:space="preserve">                   Grading Scheme</w:t>
            </w:r>
          </w:p>
          <w:p w:rsidR="00B8157C" w:rsidRDefault="00072D0D">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B8157C">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B8157C" w:rsidRDefault="00072D0D">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B8157C" w:rsidRDefault="00072D0D">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8157C" w:rsidRDefault="00072D0D">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8157C" w:rsidRDefault="00072D0D">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B8157C" w:rsidRDefault="00072D0D">
            <w:pPr>
              <w:rPr>
                <w:b/>
              </w:rPr>
            </w:pPr>
            <w:r>
              <w:rPr>
                <w:b/>
              </w:rPr>
              <w:t>Definition</w:t>
            </w:r>
          </w:p>
        </w:tc>
      </w:tr>
      <w:tr w:rsidR="00B8157C">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8157C" w:rsidRDefault="00072D0D">
            <w:pPr>
              <w:rPr>
                <w:b/>
              </w:rPr>
            </w:pPr>
            <w:r>
              <w:rPr>
                <w:b/>
              </w:rPr>
              <w:t>Success Group</w:t>
            </w:r>
          </w:p>
          <w:p w:rsidR="00B8157C" w:rsidRDefault="00072D0D">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Outstanding Performance</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Above average with some errors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Sound work with notable errors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Fair but with major shortcomings</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Work meets minimum criteria</w:t>
            </w:r>
          </w:p>
        </w:tc>
      </w:tr>
      <w:tr w:rsidR="00B8157C">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B8157C" w:rsidRDefault="00072D0D">
            <w:pPr>
              <w:rPr>
                <w:b/>
              </w:rPr>
            </w:pPr>
            <w:r>
              <w:rPr>
                <w:b/>
              </w:rPr>
              <w:t>Fail Group</w:t>
            </w:r>
          </w:p>
          <w:p w:rsidR="00B8157C" w:rsidRDefault="00072D0D">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More work required but credit awarded</w:t>
            </w:r>
          </w:p>
        </w:tc>
      </w:tr>
      <w:tr w:rsidR="00B8157C">
        <w:trPr>
          <w:trHeight w:val="300"/>
        </w:trPr>
        <w:tc>
          <w:tcPr>
            <w:tcW w:w="1620" w:type="dxa"/>
            <w:vMerge/>
            <w:tcBorders>
              <w:top w:val="single" w:sz="6" w:space="0" w:color="000000"/>
              <w:left w:val="single" w:sz="6" w:space="0" w:color="000000"/>
              <w:bottom w:val="nil"/>
              <w:right w:val="single" w:sz="6" w:space="0" w:color="000000"/>
            </w:tcBorders>
            <w:vAlign w:val="center"/>
          </w:tcPr>
          <w:p w:rsidR="00B8157C" w:rsidRDefault="00B8157C">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B8157C" w:rsidRDefault="00072D0D">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B8157C" w:rsidRDefault="00072D0D">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B8157C" w:rsidRDefault="00072D0D">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B8157C" w:rsidRDefault="00072D0D">
            <w:r>
              <w:t>Considerable amount of work required</w:t>
            </w:r>
          </w:p>
        </w:tc>
      </w:tr>
      <w:tr w:rsidR="00B8157C">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8157C" w:rsidRDefault="00B8157C">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8157C" w:rsidRDefault="00B8157C">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8157C" w:rsidRDefault="00B8157C">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8157C" w:rsidRDefault="00B8157C">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B8157C" w:rsidRDefault="00B8157C">
            <w:pPr>
              <w:rPr>
                <w:b/>
              </w:rPr>
            </w:pPr>
          </w:p>
        </w:tc>
      </w:tr>
      <w:tr w:rsidR="00B8157C">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B8157C" w:rsidRDefault="00B8157C">
            <w:pPr>
              <w:rPr>
                <w:sz w:val="16"/>
                <w:szCs w:val="16"/>
              </w:rPr>
            </w:pPr>
          </w:p>
          <w:p w:rsidR="00B8157C" w:rsidRDefault="00072D0D">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B8157C" w:rsidRDefault="00B8157C">
      <w:pPr>
        <w:bidi/>
        <w:spacing w:after="200" w:line="276" w:lineRule="auto"/>
        <w:rPr>
          <w:rFonts w:ascii="Cambria" w:eastAsia="Cambria" w:hAnsi="Cambria" w:cs="Cambria"/>
        </w:rPr>
      </w:pPr>
    </w:p>
    <w:sectPr w:rsidR="00B8157C">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DD" w:rsidRDefault="009A28DD">
      <w:pPr>
        <w:spacing w:after="0" w:line="240" w:lineRule="auto"/>
      </w:pPr>
      <w:r>
        <w:separator/>
      </w:r>
    </w:p>
  </w:endnote>
  <w:endnote w:type="continuationSeparator" w:id="0">
    <w:p w:rsidR="009A28DD" w:rsidRDefault="009A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7C" w:rsidRDefault="00072D0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70F00">
      <w:rPr>
        <w:noProof/>
        <w:color w:val="000000"/>
      </w:rPr>
      <w:t>1</w:t>
    </w:r>
    <w:r>
      <w:rPr>
        <w:color w:val="000000"/>
      </w:rPr>
      <w:fldChar w:fldCharType="end"/>
    </w:r>
  </w:p>
  <w:p w:rsidR="00B8157C" w:rsidRDefault="00B8157C">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DD" w:rsidRDefault="009A28DD">
      <w:pPr>
        <w:spacing w:after="0" w:line="240" w:lineRule="auto"/>
      </w:pPr>
      <w:r>
        <w:separator/>
      </w:r>
    </w:p>
  </w:footnote>
  <w:footnote w:type="continuationSeparator" w:id="0">
    <w:p w:rsidR="009A28DD" w:rsidRDefault="009A2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E9E"/>
    <w:multiLevelType w:val="multilevel"/>
    <w:tmpl w:val="40EE5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5271F"/>
    <w:multiLevelType w:val="multilevel"/>
    <w:tmpl w:val="0DEA2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E53EA9"/>
    <w:multiLevelType w:val="hybridMultilevel"/>
    <w:tmpl w:val="0F8A90F6"/>
    <w:lvl w:ilvl="0" w:tplc="30626ED2">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C6294"/>
    <w:multiLevelType w:val="multilevel"/>
    <w:tmpl w:val="4C42010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7B780EBB"/>
    <w:multiLevelType w:val="multilevel"/>
    <w:tmpl w:val="8F8A193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157C"/>
    <w:rsid w:val="00072D0D"/>
    <w:rsid w:val="000737FC"/>
    <w:rsid w:val="00170F00"/>
    <w:rsid w:val="00591922"/>
    <w:rsid w:val="009A28DD"/>
    <w:rsid w:val="00B40622"/>
    <w:rsid w:val="00B8157C"/>
    <w:rsid w:val="00C51170"/>
    <w:rsid w:val="00E42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F0129-8A35-4582-B088-D49A1465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73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well-logging" TargetMode="External"/><Relationship Id="rId3" Type="http://schemas.openxmlformats.org/officeDocument/2006/relationships/settings" Target="settings.xml"/><Relationship Id="rId7" Type="http://schemas.openxmlformats.org/officeDocument/2006/relationships/hyperlink" Target="mailto:moh.sattam@kus.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8</cp:revision>
  <cp:lastPrinted>2023-06-21T22:57:00Z</cp:lastPrinted>
  <dcterms:created xsi:type="dcterms:W3CDTF">2023-06-18T04:41:00Z</dcterms:created>
  <dcterms:modified xsi:type="dcterms:W3CDTF">2023-06-21T22:57:00Z</dcterms:modified>
</cp:coreProperties>
</file>